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4o00" w:hAnsi="TT5C4o00" w:cs="TT5C4o00"/>
          <w:color w:val="000000"/>
          <w:sz w:val="28"/>
          <w:szCs w:val="28"/>
        </w:rPr>
      </w:pPr>
      <w:r>
        <w:rPr>
          <w:rFonts w:ascii="TT5C4o00" w:hAnsi="TT5C4o00" w:cs="TT5C4o00"/>
          <w:color w:val="000000"/>
          <w:sz w:val="28"/>
          <w:szCs w:val="28"/>
        </w:rPr>
        <w:t>Tribunale di Milano - Sentenza 18 gennaio 2011, n. 501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5o00" w:hAnsi="TT5C5o00" w:cs="TT5C5o00"/>
          <w:color w:val="000000"/>
          <w:sz w:val="24"/>
          <w:szCs w:val="24"/>
        </w:rPr>
      </w:pPr>
      <w:r>
        <w:rPr>
          <w:rFonts w:ascii="TT5C5o00" w:hAnsi="TT5C5o00" w:cs="TT5C5o00"/>
          <w:color w:val="000000"/>
          <w:sz w:val="24"/>
          <w:szCs w:val="24"/>
        </w:rPr>
        <w:t>FATTO E DIRITTO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 xml:space="preserve">Il FALLIMENTO X s.r.l., dopo avere ottenuto un provvedimento ante </w:t>
      </w:r>
      <w:proofErr w:type="spellStart"/>
      <w:r>
        <w:rPr>
          <w:rFonts w:ascii="TT5C2o00" w:hAnsi="TT5C2o00" w:cs="TT5C2o00"/>
          <w:color w:val="000000"/>
          <w:sz w:val="20"/>
          <w:szCs w:val="20"/>
        </w:rPr>
        <w:t>causam</w:t>
      </w:r>
      <w:proofErr w:type="spellEnd"/>
      <w:r>
        <w:rPr>
          <w:rFonts w:ascii="TT5C2o00" w:hAnsi="TT5C2o00" w:cs="TT5C2o00"/>
          <w:color w:val="000000"/>
          <w:sz w:val="20"/>
          <w:szCs w:val="20"/>
        </w:rPr>
        <w:t xml:space="preserve"> di sequestro conservativo, ha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 xml:space="preserve">convenuto in giudizio avanti al Tribunale di Milano </w:t>
      </w:r>
      <w:proofErr w:type="spellStart"/>
      <w:r>
        <w:rPr>
          <w:rFonts w:ascii="TT5C2o00" w:hAnsi="TT5C2o00" w:cs="TT5C2o00"/>
          <w:color w:val="000000"/>
          <w:sz w:val="20"/>
          <w:szCs w:val="20"/>
        </w:rPr>
        <w:t>E.C.</w:t>
      </w:r>
      <w:proofErr w:type="spellEnd"/>
      <w:r>
        <w:rPr>
          <w:rFonts w:ascii="TT5C2o00" w:hAnsi="TT5C2o00" w:cs="TT5C2o00"/>
          <w:color w:val="000000"/>
          <w:sz w:val="20"/>
          <w:szCs w:val="20"/>
        </w:rPr>
        <w:t>, R.C. (padre e figlia) e D.C., quali amministratori della X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s.r.l., nonché la società D. srl chiedendo la condanna dei signori C. e C. al ristoro di tutti i danni derivati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dall'illegittima prosecuzione dell'attività dopo la perdita del capitale sociale, per distrazione di somme, pagamenti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preferenziali, oltre alla condanna di D. srl al risarcimento del danno per avere percepito pagamenti lesivi della par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condicio e per avere beneficiato di investimenti per migliorie sui propri beni, realizzati con risorse economiche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provenienti dalla fallita.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 xml:space="preserve">I convenuti si sono tutti costituiti in giudizio chiedendo il rigetto delle domande </w:t>
      </w:r>
      <w:proofErr w:type="spellStart"/>
      <w:r>
        <w:rPr>
          <w:rFonts w:ascii="TT5C2o00" w:hAnsi="TT5C2o00" w:cs="TT5C2o00"/>
          <w:color w:val="000000"/>
          <w:sz w:val="20"/>
          <w:szCs w:val="20"/>
        </w:rPr>
        <w:t>attoree</w:t>
      </w:r>
      <w:proofErr w:type="spellEnd"/>
      <w:r>
        <w:rPr>
          <w:rFonts w:ascii="TT5C2o00" w:hAnsi="TT5C2o00" w:cs="TT5C2o00"/>
          <w:color w:val="000000"/>
          <w:sz w:val="20"/>
          <w:szCs w:val="20"/>
        </w:rPr>
        <w:t>.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Il procedimento è stato istruito con consulenza tecnica, e dopo alcuni rinvii motivati dalla pendenza di trattative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rivelatesi infruttuose, la causa è passata in decisione all'udienza in data 11.11.2010.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Prima di esaminare analiticamente le censure mosse dal fallimento all'operato degli amministratori e di D., vanno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risolte due questioni pregiudiziali o potenzialmente assorbenti relative alle domande proposte nei confronti di E. e R.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C., e di D. O.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Occorre subito esaminare - con riferimento alla posizione degli amministratori - la prima questione pregiudiziale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6o00" w:hAnsi="TT5C6o00" w:cs="TT5C6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 xml:space="preserve">sollevata dai convenuti C. e C. che hanno contestato la </w:t>
      </w:r>
      <w:r>
        <w:rPr>
          <w:rFonts w:ascii="TT5C6o00" w:hAnsi="TT5C6o00" w:cs="TT5C6o00"/>
          <w:color w:val="000000"/>
          <w:sz w:val="20"/>
          <w:szCs w:val="20"/>
        </w:rPr>
        <w:t>legittimazione del curatore ad esperire l'azione di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6o00" w:hAnsi="TT5C6o00" w:cs="TT5C6o00"/>
          <w:color w:val="000000"/>
          <w:sz w:val="20"/>
          <w:szCs w:val="20"/>
        </w:rPr>
      </w:pPr>
      <w:r>
        <w:rPr>
          <w:rFonts w:ascii="TT5C6o00" w:hAnsi="TT5C6o00" w:cs="TT5C6o00"/>
          <w:color w:val="000000"/>
          <w:sz w:val="20"/>
          <w:szCs w:val="20"/>
        </w:rPr>
        <w:t>responsabilità.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In proposito il Collegio rileva che l'azione proposta dal curatore concerne un'articolata vicenda della vita della società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 xml:space="preserve">che si pone a cavallo tra la disciplina previgente e quella novellata dal </w:t>
      </w:r>
      <w:proofErr w:type="spellStart"/>
      <w:r>
        <w:rPr>
          <w:rFonts w:ascii="TT5C2o00" w:hAnsi="TT5C2o00" w:cs="TT5C2o00"/>
          <w:color w:val="000000"/>
          <w:sz w:val="20"/>
          <w:szCs w:val="20"/>
        </w:rPr>
        <w:t>D.Lgs.</w:t>
      </w:r>
      <w:proofErr w:type="spellEnd"/>
      <w:r>
        <w:rPr>
          <w:rFonts w:ascii="TT5C2o00" w:hAnsi="TT5C2o00" w:cs="TT5C2o00"/>
          <w:color w:val="000000"/>
          <w:sz w:val="20"/>
          <w:szCs w:val="20"/>
        </w:rPr>
        <w:t xml:space="preserve"> n. 3 del 2003, entrato in vigore il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1.1.2004.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Ebbene, in ragione del carattere sostanziale, e non meramente processuale, della disciplina in materia di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responsabilità degli amministratori, deve considerarsi acquisito dalla società X srl, e dai creditori di questa, ogni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diritto maturato mentre era in vigore la precedente disciplina. A ciò consegue che il curatore fallimentare è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certamente legittimato a proporre sia l'azione sociale sia quella dei creditori sociali in forza del richiamo delle norme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sulla società per azioni nella disciplina della società a responsabilità limitata (combinato disposto dai previgenti artt.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 xml:space="preserve">2392-2394- 2487 c.c.; 146 </w:t>
      </w:r>
      <w:proofErr w:type="spellStart"/>
      <w:r>
        <w:rPr>
          <w:rFonts w:ascii="TT5C2o00" w:hAnsi="TT5C2o00" w:cs="TT5C2o00"/>
          <w:color w:val="000000"/>
          <w:sz w:val="20"/>
          <w:szCs w:val="20"/>
        </w:rPr>
        <w:t>l.f.</w:t>
      </w:r>
      <w:proofErr w:type="spellEnd"/>
      <w:r>
        <w:rPr>
          <w:rFonts w:ascii="TT5C2o00" w:hAnsi="TT5C2o00" w:cs="TT5C2o00"/>
          <w:color w:val="000000"/>
          <w:sz w:val="20"/>
          <w:szCs w:val="20"/>
        </w:rPr>
        <w:t>), per i fatti antecedenti al 1.1.2004, data di entrata in vigore della riforma del diritto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societario.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Anche alla luce della legislazione riformata, tuttavia, deve reputarsi che il curatore sia legittimato all'esercizio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dell'azione sociale e dell'azione dei creditori della srl. Certamente non vi sono ostacoli a ravvisare la legittimazione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all'azione solidale, posto che essa è espressamente prevista dall'art. 2476 c.c. e 146 l. f., restando irrilevante, ai fini che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 xml:space="preserve">qui interessano, stabilire se l'azione sociale - in caso di società in </w:t>
      </w:r>
      <w:proofErr w:type="spellStart"/>
      <w:r>
        <w:rPr>
          <w:rFonts w:ascii="TT5C2o00" w:hAnsi="TT5C2o00" w:cs="TT5C2o00"/>
          <w:color w:val="000000"/>
          <w:sz w:val="20"/>
          <w:szCs w:val="20"/>
        </w:rPr>
        <w:t>bonis</w:t>
      </w:r>
      <w:proofErr w:type="spellEnd"/>
      <w:r>
        <w:rPr>
          <w:rFonts w:ascii="TT5C2o00" w:hAnsi="TT5C2o00" w:cs="TT5C2o00"/>
          <w:color w:val="000000"/>
          <w:sz w:val="20"/>
          <w:szCs w:val="20"/>
        </w:rPr>
        <w:t xml:space="preserve"> - preveda esclusivamente la legittimazione del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socio, ovvero anche quella della società. Con riferimento, poi, all'azione spettante ai creditori sociali, si osservi che la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 xml:space="preserve">nuova formulazione della norma dell'art. 146 </w:t>
      </w:r>
      <w:proofErr w:type="spellStart"/>
      <w:r>
        <w:rPr>
          <w:rFonts w:ascii="TT5C2o00" w:hAnsi="TT5C2o00" w:cs="TT5C2o00"/>
          <w:color w:val="000000"/>
          <w:sz w:val="20"/>
          <w:szCs w:val="20"/>
        </w:rPr>
        <w:t>l.f.</w:t>
      </w:r>
      <w:proofErr w:type="spellEnd"/>
      <w:r>
        <w:rPr>
          <w:rFonts w:ascii="TT5C2o00" w:hAnsi="TT5C2o00" w:cs="TT5C2o00"/>
          <w:color w:val="000000"/>
          <w:sz w:val="20"/>
          <w:szCs w:val="20"/>
        </w:rPr>
        <w:t xml:space="preserve"> va intesa come volta a ricostituire, attraverso il richiamo a tutte "le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azioni di responsabilità contro gli amministratori" quella completezza che in passato attribuiva il richiamo contenuto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nel vecchio testo dell'art. 2487 c.c., riportando il sistema a quella coerenza che aveva nella normativa abrogata.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Questa interpretazione scongiurerebbe l'illegittimità costituzionale dell'omessa previsione per i creditori delle s.r.l. di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una previsione che - analogamente a quanto avviene in forza dell'art. 2394 bis c.c. - consenta in caso di fallimento al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curatore di agire anche in nome dei creditori in via esclusiva contro gli amministratori. Se si dovesse opinare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diversamente si verificherebbe un'ingiustificata disparità di trattamento tra i creditori di una s.r.l. e quelli di una s.p.a.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Ciò deve viepiù indurre l'interprete a ravvisare la legittimazione in capo al curatore anche per l'azione dei creditori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sociali, in ragione dell'irragionevole sfasatura tra la disciplina della s.r.l. e quella della s.p.a. La norma di cui all'art.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2394 c.c. deve dunque essere applicata in via analogica alle s.r.l., sicché, in caso di fallimento, il curatore sarebbe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legittimato ad esperirla, ed in via esclusiva, ex art. 2394 bis c.c.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In altre parole, l'applicazione analogica dell'art 2394 c.c. alle s.r.l. discende dalla constatazione di un vuoto normativo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che pare ascrivibile più ad una svista di coordinamento della normativa in tema di s.r.l., piuttosto che ad una specifica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scelta legislativa di cui - peraltro - non si trova traccia nella legge delega e nella relazione alla legge. Un'eventuale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precisa scelta in questo senso - ossia l'assenza di una disciplina concernente la responsabilità degli amministratori di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s.r.l. verso i creditori per la violazione degli obblighi inerenti alla conservazione dell'integrità del patrimonio - sarebbe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inconciliabile con il sistema di responsabilità degli organi gestori come delineato dalla riforma, dal momento che la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disciplina della s.r.l. non sarebbe coordinata con quella di cui agli artt. 2485 e 2486 u.c., con quella dei gruppi, con la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regolamentazione della responsabilità dei sindaci. Si osservi a quest'ultimo proposito, che: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• il creditore potrebbe agire contro gli amministratori della s.r.l. in stato di scioglimento ex art. 2486 c.c. ma non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contro quelli della s.r.l. operativa;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• il creditore potrebbe agire contro la controllante della debitrice s.r.l. e contro gli amministratori di quest'ultima (art.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2497 c.c.), ma non contro gli amministratori della s.r.l. qualora essa non fosse soggetta a direzione e coordinamento;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• in caso di s.r.l. con collegio sindacale obbligatorio ex art. 2477 c.c. dovrebbe essere applicata la norma di cui all'art.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2407 2° c.c. che richiama l'art. 2394 c.c., sicché i creditori di una s.r.l. con collegio sindacale obbligatorio potrebbero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agire contro i sindaci per l'omesso controllo che avrebbe concorso a determinare l'insufficienza del patrimonio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sociale, ma non - paradossalmente - contro gli amministratori che l'avrebbero direttamente provocata.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Deve quindi concludersi nel senso dell'affermazione della legittimazione del curatore del fallimento di società a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lastRenderedPageBreak/>
        <w:t>responsabilità limitata ad esperire l'azione sociale e l'azione dei creditori sociali.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 xml:space="preserve">Gli amministratori convenuti hanno inoltre eccepito la </w:t>
      </w:r>
      <w:r>
        <w:rPr>
          <w:rFonts w:ascii="TT5C6o00" w:hAnsi="TT5C6o00" w:cs="TT5C6o00"/>
          <w:color w:val="000000"/>
          <w:sz w:val="20"/>
          <w:szCs w:val="20"/>
        </w:rPr>
        <w:t xml:space="preserve">prescrizione </w:t>
      </w:r>
      <w:r>
        <w:rPr>
          <w:rFonts w:ascii="TT5C2o00" w:hAnsi="TT5C2o00" w:cs="TT5C2o00"/>
          <w:color w:val="000000"/>
          <w:sz w:val="20"/>
          <w:szCs w:val="20"/>
        </w:rPr>
        <w:t>dell'azione (per l'esame dell'analoga eccezione di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D. si rimanda al prosieguo).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Il FALLIMENTO ha dedotto che detta eccezione sarebbe tardiva, perché non è stata formulata nella comparsa di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risposta, ed è stata sollevata per la prima volta nella prima memoria di replica. Ebbene, il Tribunale reputa che la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 xml:space="preserve">questione sia stata tempestivamente prospettata, avuto riguardo al differente testo dell'art. 167 </w:t>
      </w:r>
      <w:proofErr w:type="spellStart"/>
      <w:r>
        <w:rPr>
          <w:rFonts w:ascii="TT5C2o00" w:hAnsi="TT5C2o00" w:cs="TT5C2o00"/>
          <w:color w:val="000000"/>
          <w:sz w:val="20"/>
          <w:szCs w:val="20"/>
        </w:rPr>
        <w:t>c.p.c.</w:t>
      </w:r>
      <w:proofErr w:type="spellEnd"/>
      <w:r>
        <w:rPr>
          <w:rFonts w:ascii="TT5C2o00" w:hAnsi="TT5C2o00" w:cs="TT5C2o00"/>
          <w:color w:val="000000"/>
          <w:sz w:val="20"/>
          <w:szCs w:val="20"/>
        </w:rPr>
        <w:t xml:space="preserve"> rispetto alla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 xml:space="preserve">norma speciale dettata dall'art. 4 del D.lgs. n. 5 del 2003, posto che quest'ultima disposizione, applicabile </w:t>
      </w:r>
      <w:proofErr w:type="spellStart"/>
      <w:r>
        <w:rPr>
          <w:rFonts w:ascii="TT5C2o00" w:hAnsi="TT5C2o00" w:cs="TT5C2o00"/>
          <w:color w:val="000000"/>
          <w:sz w:val="20"/>
          <w:szCs w:val="20"/>
        </w:rPr>
        <w:t>ratione</w:t>
      </w:r>
      <w:proofErr w:type="spellEnd"/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proofErr w:type="spellStart"/>
      <w:r>
        <w:rPr>
          <w:rFonts w:ascii="TT5C2o00" w:hAnsi="TT5C2o00" w:cs="TT5C2o00"/>
          <w:color w:val="000000"/>
          <w:sz w:val="20"/>
          <w:szCs w:val="20"/>
        </w:rPr>
        <w:t>temporis</w:t>
      </w:r>
      <w:proofErr w:type="spellEnd"/>
      <w:r>
        <w:rPr>
          <w:rFonts w:ascii="TT5C2o00" w:hAnsi="TT5C2o00" w:cs="TT5C2o00"/>
          <w:color w:val="000000"/>
          <w:sz w:val="20"/>
          <w:szCs w:val="20"/>
        </w:rPr>
        <w:t xml:space="preserve"> al procedimento per cui è causa, non include le eccezioni in senso stretto tra le facoltà da esercitare a pena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di decadenza con la comparsa di risposta. Da ciò deriva che l'eccezione di prescrizione sollevata per la prima volta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 xml:space="preserve">con la memoria ex art. 7, </w:t>
      </w:r>
      <w:proofErr w:type="spellStart"/>
      <w:r>
        <w:rPr>
          <w:rFonts w:ascii="TT5C2o00" w:hAnsi="TT5C2o00" w:cs="TT5C2o00"/>
          <w:color w:val="000000"/>
          <w:sz w:val="20"/>
          <w:szCs w:val="20"/>
        </w:rPr>
        <w:t>D.Lgs.</w:t>
      </w:r>
      <w:proofErr w:type="spellEnd"/>
      <w:r>
        <w:rPr>
          <w:rFonts w:ascii="TT5C2o00" w:hAnsi="TT5C2o00" w:cs="TT5C2o00"/>
          <w:color w:val="000000"/>
          <w:sz w:val="20"/>
          <w:szCs w:val="20"/>
        </w:rPr>
        <w:t xml:space="preserve"> n. 5 del 2003 non può dirsi tardiva.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Sulla questione della prescrizione, è noto che - secondo giurisprudenza costante - l'azione di responsabilità nei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confronti di amministratori o sindaci di una società, esercitata dai creditori, ovvero dal curatore fallimentare, è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soggetta a prescrizione quinquennale ex art. 2949, 2° comma, c.c., che decorre dal momento della manifestazione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dell'insufficienza patrimoniale (si vedano, per tutte, Cass. n. 9815 del 2002 e Cass. Sez. Unite n. 5241 del 1981). Nel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caso in esame non è contestato che il dissesto poteva desumersi solo dal bilancio al 31.12.2003, mai pubblicato,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sicché l'insolvenza si è manifestata in concomitanza con la dichiarazione di fallimento della società X srl del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novembre 2004. Si osservi, anzi, che la stessa difesa C. non ha contestato che l'insolvenza sia stata percepibile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all'esterno solo con la dichiarazione di fallimento (si veda, in particolare, il contenuto della pag. 5 della comparsa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conclusionale, in cui si sottolinea solo la data di cessazione dell'incarico formale di E. O.). In ogni caso, i convenuti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non hanno adempiuto l'onere posto a loro carico in ordine all'indicazione, ed alla relativa prova, del diverso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momento in cui il dissesto sarebbe divenuto riconoscibile ai terzi. Non rileva, infatti, riguardo ai creditori sociali, ai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fini della prescrizione, il momento di cessazione della carica degli amministratori, tenuto conto che esso può venire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ad emergenza solo nei rapporti interni tra la società ed i suoi organi (art. 2941 n. 7), c.c.)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Considerato dunque che il tracollo è divenuto palese nel novembre del 2004 e che la citazione è stata notificata nel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luglio 2008, risulta evidente che per l'azione di responsabilità dei creditori sociali non è maturata la prescrizione.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I predetti rilievi rendono superfluo esaminare la questione della prescrizione con riferimento all'azione sociale di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responsabilità esercitata dal curatore.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Le contestazioni mosse dal FALLIMENTO agli amministratori.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Il FALLIMENTO chiede il ristoro dei danni cagionati al patrimonio sociale destinato alla soddisfazione dei creditori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dall'</w:t>
      </w:r>
      <w:r>
        <w:rPr>
          <w:rFonts w:ascii="TT5C6o00" w:hAnsi="TT5C6o00" w:cs="TT5C6o00"/>
          <w:color w:val="000000"/>
          <w:sz w:val="20"/>
          <w:szCs w:val="20"/>
        </w:rPr>
        <w:t xml:space="preserve">aggravamento del dissesto </w:t>
      </w:r>
      <w:r>
        <w:rPr>
          <w:rFonts w:ascii="TT5C2o00" w:hAnsi="TT5C2o00" w:cs="TT5C2o00"/>
          <w:color w:val="000000"/>
          <w:sz w:val="20"/>
          <w:szCs w:val="20"/>
        </w:rPr>
        <w:t>derivato dalla prosecuzione dell'attività dopo la perdita del capitale sociale, che era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 xml:space="preserve">stata occultata tramite la </w:t>
      </w:r>
      <w:r>
        <w:rPr>
          <w:rFonts w:ascii="TT5C6o00" w:hAnsi="TT5C6o00" w:cs="TT5C6o00"/>
          <w:color w:val="000000"/>
          <w:sz w:val="20"/>
          <w:szCs w:val="20"/>
        </w:rPr>
        <w:t xml:space="preserve">falsificazione </w:t>
      </w:r>
      <w:r>
        <w:rPr>
          <w:rFonts w:ascii="TT5C2o00" w:hAnsi="TT5C2o00" w:cs="TT5C2o00"/>
          <w:color w:val="000000"/>
          <w:sz w:val="20"/>
          <w:szCs w:val="20"/>
        </w:rPr>
        <w:t>dei dati di bilancio per gli esercizi dal 1999 al 2002 (mediante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sopravvalutazioni delle voci di "immobilizzazioni immateriali" ed "immobilizzazioni materiali", oltre che, nel 2002,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della voce "fondo per rischi ed oneri"), perdita verificatasi alla fine dell'esercizio 1999. L'illegittima prosecuzione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dell'attività si risolveva nella gestione della sala da ballo a C. nel corso della quale sarebbero stati compiuti i denunciati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investimenti sui beni appartenenti a D. srl che formavano oggetto dell'affitto d'azienda per € 276.085,20.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L'attore ha denunciato inoltre la distrazione della cassa per € 91.301,29 e i pagamenti preferenziali rappresentati dai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corrispettivi per l'affitto d'azienda versati a D. srl dal 2000 alla data della dichiarazione di fallimento per € 254.220,73.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La distrazione della cassa (€ 91.301,29).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La circostanza, desunta dalla relazione del curatore, non è contestata dai convenuti. Non si dimentichi che la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 xml:space="preserve">ricordata relazione, in quanto formata da pubblico ufficiale nell'esercizio delle sue funzioni (art. 33 </w:t>
      </w:r>
      <w:proofErr w:type="spellStart"/>
      <w:r>
        <w:rPr>
          <w:rFonts w:ascii="TT5C2o00" w:hAnsi="TT5C2o00" w:cs="TT5C2o00"/>
          <w:color w:val="000000"/>
          <w:sz w:val="20"/>
          <w:szCs w:val="20"/>
        </w:rPr>
        <w:t>l.f.</w:t>
      </w:r>
      <w:proofErr w:type="spellEnd"/>
      <w:r>
        <w:rPr>
          <w:rFonts w:ascii="TT5C2o00" w:hAnsi="TT5C2o00" w:cs="TT5C2o00"/>
          <w:color w:val="000000"/>
          <w:sz w:val="20"/>
          <w:szCs w:val="20"/>
        </w:rPr>
        <w:t>) fa piena prova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fino a querela di falso degli atti e dei fatti che egli attesta essere stati da lui compiuti o essere avvenuti in sua presenza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 xml:space="preserve"> (Cass. n. 8704 del 1998), sicché il fatto materiale del mancato reperimento della somma in discorso tra i beni aziendali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risulta dunque incontrovertibile. I convenuti, sui quali grava l'onere probatorio dell'impiego di tale somma per fini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coerenti con l'attività sociale, hanno taciuto sul punto.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Si aggiunga, riguardo ai sigg. C., che in relazione a tale atto distruttivo è intervenuta la sentenza di patteggiamento,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con le descritte conseguenze probatorie nell'ambito di questo giudizio (v. capo 1). Sul punto, il Collegio condivide i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principi affermati dalla giurisprudenza di legittimità secondo i quali "la sentenza penale di applicazione della pena ex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 xml:space="preserve">art. 444 </w:t>
      </w:r>
      <w:proofErr w:type="spellStart"/>
      <w:r>
        <w:rPr>
          <w:rFonts w:ascii="TT5C2o00" w:hAnsi="TT5C2o00" w:cs="TT5C2o00"/>
          <w:color w:val="000000"/>
          <w:sz w:val="20"/>
          <w:szCs w:val="20"/>
        </w:rPr>
        <w:t>c.p.p.</w:t>
      </w:r>
      <w:proofErr w:type="spellEnd"/>
      <w:r>
        <w:rPr>
          <w:rFonts w:ascii="TT5C2o00" w:hAnsi="TT5C2o00" w:cs="TT5C2o00"/>
          <w:color w:val="000000"/>
          <w:sz w:val="20"/>
          <w:szCs w:val="20"/>
        </w:rPr>
        <w:t xml:space="preserve"> (cosiddetto "patteggiamento") costituisce indiscutibile elemento di prova per il giudice di merito il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quale, ove intenda disconoscere tale efficacia probatoria, ha il dovere di spiegare le ragioni per cui l'imputato avrebbe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ammesso una sua insussistente responsabilità, ed il giudice penale abbia prestato fede a tale ammissione. Detto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riconoscimento, pertanto, pur non essendo oggetto di statuizione assistita dall'efficacia del giudicato, ben può essere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utilizzato come prova nel corrispondente giudizio di responsabilità in sede civile", (tra le tante, si consultino Cass. n.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132 del 2008; n. 9358 del 2005; n. 4193 del 2003).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I convenuti C. non hanno ai riguardo allegato alcun argomento che possa indurre il Tribunale a credere che essi si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siano indotti ad una simile scelta per ragioni diverse dall'ammissione della propria colpevolezza. Deve per converso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sottolinearsi che l'entità della pena applicata agli imputati (tre anni per E. C. e due anni e quattro mesi per la figlia R.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depone a favore della consapevolezza e del riconoscimento da parte dei convenuti delle proprie responsabilità penali.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L'addebito non può essere riconosciuto nei confronti del sig. C. per le ragioni che saranno illustrate in prosieguo,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nella parte dedicata alla posizione del ricordato convenuto.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I pagamenti preferenziali (€ 254,220,731).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Relativamente ai pagamenti effettuati a D. in violazione della par condicio credito rum e per i quali è intervenuta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 xml:space="preserve">applicazione della pena ex art. 444 </w:t>
      </w:r>
      <w:proofErr w:type="spellStart"/>
      <w:r>
        <w:rPr>
          <w:rFonts w:ascii="TT5C2o00" w:hAnsi="TT5C2o00" w:cs="TT5C2o00"/>
          <w:color w:val="000000"/>
          <w:sz w:val="20"/>
          <w:szCs w:val="20"/>
        </w:rPr>
        <w:t>cpp</w:t>
      </w:r>
      <w:proofErr w:type="spellEnd"/>
      <w:r>
        <w:rPr>
          <w:rFonts w:ascii="TT5C2o00" w:hAnsi="TT5C2o00" w:cs="TT5C2o00"/>
          <w:color w:val="000000"/>
          <w:sz w:val="20"/>
          <w:szCs w:val="20"/>
        </w:rPr>
        <w:t xml:space="preserve"> nei confronti dei convenuti C. per il reato di cui all'art. 216, terzo comma, </w:t>
      </w:r>
      <w:proofErr w:type="spellStart"/>
      <w:r>
        <w:rPr>
          <w:rFonts w:ascii="TT5C2o00" w:hAnsi="TT5C2o00" w:cs="TT5C2o00"/>
          <w:color w:val="000000"/>
          <w:sz w:val="20"/>
          <w:szCs w:val="20"/>
        </w:rPr>
        <w:t>l.f.</w:t>
      </w:r>
      <w:proofErr w:type="spellEnd"/>
      <w:r>
        <w:rPr>
          <w:rFonts w:ascii="TT5C2o00" w:hAnsi="TT5C2o00" w:cs="TT5C2o00"/>
          <w:color w:val="000000"/>
          <w:sz w:val="20"/>
          <w:szCs w:val="20"/>
        </w:rPr>
        <w:t>,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lastRenderedPageBreak/>
        <w:t>si pone il problema se sia configurabile un danno da pagamento preferenziale per la massa dei creditori, a tutela dei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 xml:space="preserve">quali il curatore agisce esercitando l'azione ex artt. 2486 c.c. e 146 </w:t>
      </w:r>
      <w:proofErr w:type="spellStart"/>
      <w:r>
        <w:rPr>
          <w:rFonts w:ascii="TT5C2o00" w:hAnsi="TT5C2o00" w:cs="TT5C2o00"/>
          <w:color w:val="000000"/>
          <w:sz w:val="20"/>
          <w:szCs w:val="20"/>
        </w:rPr>
        <w:t>l.f.</w:t>
      </w:r>
      <w:proofErr w:type="spellEnd"/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È certamente vero che la legge stabilisce che il patrimonio del debitore costituisce la garanzia dell'adempimento delle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sue obbligazioni (art. 2740 c.c.), e che su tale patrimonio i singoli creditori hanno diritto di soddisfarsi in eguale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misura, fatte salve le cause legittime di prelazione. Gli amministratori della società hanno certo l'obbligo di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conservare l'integrità del patrimonio sociale e, come si diceva, la violazione di tale obbligo che abbia determinato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l'insufficienza del patrimonio a soddisfare tutti i debiti sociali implica la responsabilità risarcitoria verso i creditori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sociali. Se poi la società, come nel caso in esame, si trova in stato di scioglimento, gli stessi hanno altresì il dovere di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conservare l'integrità ed il valore del patrimonio sociale, e ne rispondono verso i soci, i creditori sociali, e i terzi (art.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2486 c.c.). In ogni caso, se il patrimonio è divenuto insufficiente rispetto alla massa dei debiti gli amministratori sono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tenuti, stante il disposto dell'art. 216 citato, ad agire in modo da non ledere la par condicio credito rum.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Ne consegue che qualora siano compiuti pagamenti preferenziali si produce, per effetto di questi, un danno specifico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nel patrimonio dei singoli creditori rimasti insoddisfatti corrispondente all'incremento della falcidia subita, ossia alla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minore misura in cui ciascuno può concorrere sull'attivo liquidato, salve le legittime cause di prelazione.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In altre parole, la soddisfazione di un creditore al posto di un altro, che a ciò sia legittimato secondo la corretta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graduazione dei crediti, può tutt'al più generare una contesa tra le posizioni soggettive individuali dei singoli creditori,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ma non anche un pregiudizio per la massa creditoria considerata nel suo complesso, che mantiene comunque la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medesima consistenza anche in caso di pagamento preferenziale, qualunque sia il creditore beneficiato dal pagamento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lesivo della par condicio tra quelli aventi diritto di partecipare al concorso.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Si noti, poi, che tale pregiudizio individuale diretto, verrebbe a delinearsi compiutamente e definitivamente solo con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l'esecuzione del riparto finale, e all'esito dell'esperimento infruttuoso o insufficiente di eventuali azioni revocatorie,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sicché esso sarebbe imputabile in via immediata e diretta agli amministratori solo se alla sua determinazione non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avesse dato causa lo stesso curatore che - ai sensi dell'art. 1227, secondo comma, c.c. - non avesse esercitato per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 xml:space="preserve">tempo le revocatorie o le altre azioni </w:t>
      </w:r>
      <w:proofErr w:type="spellStart"/>
      <w:r>
        <w:rPr>
          <w:rFonts w:ascii="TT5C2o00" w:hAnsi="TT5C2o00" w:cs="TT5C2o00"/>
          <w:color w:val="000000"/>
          <w:sz w:val="20"/>
          <w:szCs w:val="20"/>
        </w:rPr>
        <w:t>recuperatorie</w:t>
      </w:r>
      <w:proofErr w:type="spellEnd"/>
      <w:r>
        <w:rPr>
          <w:rFonts w:ascii="TT5C2o00" w:hAnsi="TT5C2o00" w:cs="TT5C2o00"/>
          <w:color w:val="000000"/>
          <w:sz w:val="20"/>
          <w:szCs w:val="20"/>
        </w:rPr>
        <w:t xml:space="preserve"> possibili.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Così delineato il pregiudizio connesso alla condotta di bancarotta preferenziale, il pregiudizio extracontrattuale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direttamente cagionato nella sfera patrimoniale del singolo creditore, e circoscritto alla differenza tra quanto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percepito in sede di riparto e quanto sarebbe stato percepibile in assenza di pagamenti preferenziali, si tratta poi di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stabilire chi possa agire per il suo ristoro in caso di fallimento della società: in considerazione della regola generale di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 xml:space="preserve">cui all'art 81 </w:t>
      </w:r>
      <w:proofErr w:type="spellStart"/>
      <w:r>
        <w:rPr>
          <w:rFonts w:ascii="TT5C2o00" w:hAnsi="TT5C2o00" w:cs="TT5C2o00"/>
          <w:color w:val="000000"/>
          <w:sz w:val="20"/>
          <w:szCs w:val="20"/>
        </w:rPr>
        <w:t>c.p.c.</w:t>
      </w:r>
      <w:proofErr w:type="spellEnd"/>
      <w:r>
        <w:rPr>
          <w:rFonts w:ascii="TT5C2o00" w:hAnsi="TT5C2o00" w:cs="TT5C2o00"/>
          <w:color w:val="000000"/>
          <w:sz w:val="20"/>
          <w:szCs w:val="20"/>
        </w:rPr>
        <w:t xml:space="preserve"> sembra al Collegio che solo ciascun creditore possa agire contro l'amministratore che abbia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cagionato un danno alla propria ragione di credito ex art. 2043 c.c. o ex art. 2395 c.c., poiché nessuna norma ne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 xml:space="preserve">consentirebbe l'esercizio al curatore. Non vengono in soccorso, a tale riguardo, le norme di cui agli artt. 42 - 43 </w:t>
      </w:r>
      <w:proofErr w:type="spellStart"/>
      <w:r>
        <w:rPr>
          <w:rFonts w:ascii="TT5C2o00" w:hAnsi="TT5C2o00" w:cs="TT5C2o00"/>
          <w:color w:val="000000"/>
          <w:sz w:val="20"/>
          <w:szCs w:val="20"/>
        </w:rPr>
        <w:t>l.f.</w:t>
      </w:r>
      <w:proofErr w:type="spellEnd"/>
      <w:r>
        <w:rPr>
          <w:rFonts w:ascii="TT5C2o00" w:hAnsi="TT5C2o00" w:cs="TT5C2o00"/>
          <w:color w:val="000000"/>
          <w:sz w:val="20"/>
          <w:szCs w:val="20"/>
        </w:rPr>
        <w:t>,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secondo le quali spetta al curatore fallimentare, in ragione del fenomeno del c.d. spossessamento, la legittimazione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sostanziale e processuale per l'esercizio e la tutela dei diritti del fallito; non aiuta invocare l'art. 2394 bis c.c. che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attribuisce al curatore una legittimazione straordinaria ad agire contro gli amministratori per far valere i diritti dei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creditori derivanti dal dovere di cui all'art. 2486 c.c., e dunque per ottenere una tutela del tutto diversa e assorbente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 xml:space="preserve">rispetto al danno al singolo creditore di cui si discute; non serve far ricorso all'art. 146 </w:t>
      </w:r>
      <w:proofErr w:type="spellStart"/>
      <w:r>
        <w:rPr>
          <w:rFonts w:ascii="TT5C2o00" w:hAnsi="TT5C2o00" w:cs="TT5C2o00"/>
          <w:color w:val="000000"/>
          <w:sz w:val="20"/>
          <w:szCs w:val="20"/>
        </w:rPr>
        <w:t>l.f.</w:t>
      </w:r>
      <w:proofErr w:type="spellEnd"/>
      <w:r>
        <w:rPr>
          <w:rFonts w:ascii="TT5C2o00" w:hAnsi="TT5C2o00" w:cs="TT5C2o00"/>
          <w:color w:val="000000"/>
          <w:sz w:val="20"/>
          <w:szCs w:val="20"/>
        </w:rPr>
        <w:t xml:space="preserve"> per il quale il curatore può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esercitare "le azioni di responsabilità contro gli amministratori, i componenti degli organi di controllo o direttori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generali e i liquidatori" e quella contro il socio ex art. 2476 comma 7° c.c., ovvero le c.d. azioni di massa, volte alla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ricostituzione dell'integrità del patrimonio sociale, ma non le azioni individuali spettanti ai singoli creditori.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Si deve quindi concludere che il curatore non è legittimato ad agire per il ristoro del danno subito direttamente ed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individualmente dal singolo creditore per effetto della condotta dell'amministratore, e che nella specie non sarebbe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comunque possibile, allo stato, definire puntualmente il pregiudizio sofferto dalla massa, in mancanza di ogni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specifica deduzione sul punto ad opera dell'attore.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Non può essere quindi riconosciuta la voce di danno dedotta dal FALLIMENTO per gli intervenuti pagamenti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preferenziali.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Resta da esaminare il profilo di danno denunciato relativamente all'illegittima prosecuzione dell'attività di rischio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dopo il verificarsi della causa di scioglimento.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Il Tribunale reputa che la perdita del capitale sociale al 31.12.1999, l'omessa convocazione dell'assemblea per le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iniziative conseguenti, l'occultamento delle perdite tramite falsificazioni in bilancio, e la prosecuzione dell'attività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aziendale in forma non conservativa rappresentino circostanze che in causa devono essere tenute per ferme con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riguardo al C., perché da questo non puntualmente contestate, ed in quanto la difesa da questo svolta si incentra -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come si dirà tra poco - sull'affermazione di non avere mai preso parte all'attività sociale, e dunque si risolve in una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dichiarazione confessoria della violazione dei doveri dell'amministratore. Non si dimentichi che dagli atti si ricavano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dati di segno contrario a quello indicato dalla parte, che depongono invece per la consapevolezza in capo a detto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convenuto dell'andamento negativo dell'impresa, posto che D. C. risulta avere partecipato alle assemblee persino in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epoca successiva alla comunicazione delle dimissioni (in tale contesto appare significativo che la rinuncia a proseguire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l'incarico, secondo quanto è pacifico, non sia stata oggetto di iscrizione al Registro delle imprese).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Ed ancora, la perdita del capitale sociale, le falsificazioni dei dati di bilancio, e la prosecuzione vietata non sono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contestate neppure dai convenuti C. nelle note di osservazioni alla CTU; tali fatti vanno poi considerati come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 xml:space="preserve">riconosciuti in forza dell'intervenuta applicazione della pena ex art. 444 </w:t>
      </w:r>
      <w:proofErr w:type="spellStart"/>
      <w:r>
        <w:rPr>
          <w:rFonts w:ascii="TT5C2o00" w:hAnsi="TT5C2o00" w:cs="TT5C2o00"/>
          <w:color w:val="000000"/>
          <w:sz w:val="20"/>
          <w:szCs w:val="20"/>
        </w:rPr>
        <w:t>cpp</w:t>
      </w:r>
      <w:proofErr w:type="spellEnd"/>
      <w:r>
        <w:rPr>
          <w:rFonts w:ascii="TT5C2o00" w:hAnsi="TT5C2o00" w:cs="TT5C2o00"/>
          <w:color w:val="000000"/>
          <w:sz w:val="20"/>
          <w:szCs w:val="20"/>
        </w:rPr>
        <w:t>. Si legga in particolare l'imputazione sub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3).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Il FALLIMENTO ha dunque prospettato - come si diceva - il danno da aggravamento del dissesto dal 31.12.1999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lastRenderedPageBreak/>
        <w:t>fino alla data della dichiarazione di fallimento (novembre 2004) che nel caso in esame - va subito anticipato - ben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potrebbe essere determinato con valutazione equitativa nella differenza tra lo sbilancio patrimoniale esistente alla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data di perdita del capitale sociale, e quella riscontrabile alla data di fallimento.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 xml:space="preserve">In passato la giurisprudenza soleva imputare alla responsabilità dell'organo </w:t>
      </w:r>
      <w:proofErr w:type="spellStart"/>
      <w:r>
        <w:rPr>
          <w:rFonts w:ascii="TT5C2o00" w:hAnsi="TT5C2o00" w:cs="TT5C2o00"/>
          <w:color w:val="000000"/>
          <w:sz w:val="20"/>
          <w:szCs w:val="20"/>
        </w:rPr>
        <w:t>gestorio</w:t>
      </w:r>
      <w:proofErr w:type="spellEnd"/>
      <w:r>
        <w:rPr>
          <w:rFonts w:ascii="TT5C2o00" w:hAnsi="TT5C2o00" w:cs="TT5C2o00"/>
          <w:color w:val="000000"/>
          <w:sz w:val="20"/>
          <w:szCs w:val="20"/>
        </w:rPr>
        <w:t xml:space="preserve"> la differenza tra attivo e passivo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fallimentare, ma tale indirizzo è stato poi abbandonato in seguito al rilievo dei profili di inadeguatezza di un simile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criterio, che si poteva rivelare erroneo per eccesso - posto che il deficit fallimentare può essere derivato anche da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scelte gestionali infelici, notoriamente insindacabili nel merito, e non soltanto da comportamenti colposi degli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amministratori - o persino per difetto, tenuto conto che esso non si esaurisce necessariamente nelle perdite derivate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 xml:space="preserve">dalla mala </w:t>
      </w:r>
      <w:proofErr w:type="spellStart"/>
      <w:r>
        <w:rPr>
          <w:rFonts w:ascii="TT5C2o00" w:hAnsi="TT5C2o00" w:cs="TT5C2o00"/>
          <w:color w:val="000000"/>
          <w:sz w:val="20"/>
          <w:szCs w:val="20"/>
        </w:rPr>
        <w:t>gestio</w:t>
      </w:r>
      <w:proofErr w:type="spellEnd"/>
      <w:r>
        <w:rPr>
          <w:rFonts w:ascii="TT5C2o00" w:hAnsi="TT5C2o00" w:cs="TT5C2o00"/>
          <w:color w:val="000000"/>
          <w:sz w:val="20"/>
          <w:szCs w:val="20"/>
        </w:rPr>
        <w:t>, e che una parte dei creditori può avere rinunciato all'ammissione al passivo.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Da ciò deriva che il risarcimento da porre a carico degli amministratori non può prescindere dalla individuazione nel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novero degli atti produttivi di danno, di quelli che concretamente hanno cagionato danno, dovendosi espungere dallo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sbilancio fallimentare il deficit patrimoniale che promana da scelte gestionali compiute prima dell'insorgenza della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causa di scioglimento e che avevano logorato il capitale, sia quello scaturito da scelte gestionali legittime perché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strumentali alla conservazione dell'integrità del patrimonio sociale, ancorché in concreto rivelatesi pregiudizievoli per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la società.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Occorre dunque - in linea generale - compiere uno scrutinio caso per caso delle conseguenze patrimoniali imputabili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 xml:space="preserve">alle singole operazioni poste in essere dall'organo </w:t>
      </w:r>
      <w:proofErr w:type="spellStart"/>
      <w:r>
        <w:rPr>
          <w:rFonts w:ascii="TT5C2o00" w:hAnsi="TT5C2o00" w:cs="TT5C2o00"/>
          <w:color w:val="000000"/>
          <w:sz w:val="20"/>
          <w:szCs w:val="20"/>
        </w:rPr>
        <w:t>gestorio</w:t>
      </w:r>
      <w:proofErr w:type="spellEnd"/>
      <w:r>
        <w:rPr>
          <w:rFonts w:ascii="TT5C2o00" w:hAnsi="TT5C2o00" w:cs="TT5C2o00"/>
          <w:color w:val="000000"/>
          <w:sz w:val="20"/>
          <w:szCs w:val="20"/>
        </w:rPr>
        <w:t xml:space="preserve"> dopo il verificarsi della causa di scioglimento, al fine di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delibare se si sia trattato di operazioni vietate incidenti negativamente sul patrimonio sociale, e nei limiti in cui si sia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effettivamente verificata una perdita (in questo senso l'orientamento ormai consolidato del Supremo collegio: si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vedano per tutte Cass. n. 2538 del 2005; n. 16211 del 2007 e n. 17033 del 2008). Da ciò deriva che il curatore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fallimentare che voglia far valere la responsabilità degli amministratori per violazione del dovere ex art. 2486 c.c. ha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l'onere di specificare i singoli atti gestori concretamente adottati dagli amministratori in violazione del ricordato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divieto, e di provare il danno derivato da tali comportamenti antidoverosi.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Nel passare in modo più stringente a calare i principi ora ricordati al caso che ci occupa, occorre tenere presente che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il criterio di determinazione del danno può essere operato in via equitativa, secondo l'illustrato indirizzo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giurisprudenziale a cui il Collegio aderisce, in caso di fallimenti di società per le quali si deduce una notevole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anteriorità della perdita del capitale rispetto alla dichiarazione di insolvenza. In queste ipotesi si tratta di valutare un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complesso di attività, a volte attraverso documentazione contabile non del tutto chiara o completa, con speciale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difficoltà nell'individuare in modo sufficientemente circostanziato le operazioni non coerenti con il fine conservativo,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sicché si può fare ricorso a criteri presuntivi e sintetici di allegazione e dimostrazione, che si basano sulla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verosimiglianza nel caso concreto dell'imputazione causale di un certo risultato negativo per il patrimonio sociale.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In tali casi, si può dunque ritenere assolto l'onere di allegazione - quando il curatore fallimentare deduce che la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perdita del capitale e lo stato di scioglimento della società sono anteriori alla dichiarazione dello stato di insolvenza, o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alla formale messa in liquidazione della società, e afferma che gli amministratori hanno proseguito l'attività d'impresa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provocando un'ulteriore perdita, ossia superiore rispetto a quella registrata al momento dello scioglimento di fatto,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alla luce della differenza tra i netti patrimoniali individuati, da un Iato, alla data di scioglimento di fatto, e, dall'altro,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alla data della dichiarazione di fallimento, salvo poi valutare se l'ipotizzato incremento dello sbilancio si sia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effettivamente verificato alla luce di una corretta comparazione tra i due dati contabili.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In altre parole, giungendo così più direttamente alla valutazione del dissesto di srl, si osservi che le rilevanti difficoltà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di valutare il complesso dell'attività vietata svolta dalla società fallita, che ha proseguito a gestire una sala da ballo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situata in [Omissis] nell'arco temporale di circa quattro anni (1999-2004), e l'impossibilità di ricostruire i dati con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I'analiticità necessaria per individuare le conseguenze dannose riconducibili al comportamento degli amministratori, e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segnatamente alle operazioni non coerenti con il fine conservativo, costituiscono la premessa che legittima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l'utilizzazione del criterio presuntivo e sintetico della differenza dei netti patrimoniali, che ben può sorreggere una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valutazione equitativa del danno (v. Cass. n. 2538 del 2005).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Nel caso di specie il Tribunale ribadisce che in astratto è possibile utilizzare il criterio equitativo della perdita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incrementale, ove si consideri che il lungo tempo trascorso tra il momento di integrale erosione del capitale sociale e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la data della dichiarazione di fallimento impedisce una minuziosa ricostruzione ex post delle singole operazioni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vietate - perché non conservative - depurate del valore dell'eventuale ricavo (art. 2449 c.c. vecchio testo, e art. 2486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c.c. vigente: si noti che l'illegittima prosecuzione dell'attività si è protratta dal 2000 al novembre 2004, sicché le due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norme citate, di segno pressoché corrispondente, per la parte che qui rileva, sono entrambe applicabili al caso di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 xml:space="preserve">specie </w:t>
      </w:r>
      <w:proofErr w:type="spellStart"/>
      <w:r>
        <w:rPr>
          <w:rFonts w:ascii="TT5C2o00" w:hAnsi="TT5C2o00" w:cs="TT5C2o00"/>
          <w:color w:val="000000"/>
          <w:sz w:val="20"/>
          <w:szCs w:val="20"/>
        </w:rPr>
        <w:t>ratione</w:t>
      </w:r>
      <w:proofErr w:type="spellEnd"/>
      <w:r>
        <w:rPr>
          <w:rFonts w:ascii="TT5C2o00" w:hAnsi="TT5C2o00" w:cs="TT5C2o00"/>
          <w:color w:val="000000"/>
          <w:sz w:val="20"/>
          <w:szCs w:val="20"/>
        </w:rPr>
        <w:t xml:space="preserve"> </w:t>
      </w:r>
      <w:proofErr w:type="spellStart"/>
      <w:r>
        <w:rPr>
          <w:rFonts w:ascii="TT5C2o00" w:hAnsi="TT5C2o00" w:cs="TT5C2o00"/>
          <w:color w:val="000000"/>
          <w:sz w:val="20"/>
          <w:szCs w:val="20"/>
        </w:rPr>
        <w:t>temporis</w:t>
      </w:r>
      <w:proofErr w:type="spellEnd"/>
      <w:r>
        <w:rPr>
          <w:rFonts w:ascii="TT5C2o00" w:hAnsi="TT5C2o00" w:cs="TT5C2o00"/>
          <w:color w:val="000000"/>
          <w:sz w:val="20"/>
          <w:szCs w:val="20"/>
        </w:rPr>
        <w:t>). È noto che il previgente art. 2449 c.c. contemplava seccamente per gli amministratori il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divieto di nuove operazioni, mentre l'attuale art. 2486 c.c. dispone che questi ''conservano il potere di gestire la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società, ai soli fini della conservazione dell'integrità e del valore del patrimonio sociale". Si ritiene tuttavia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comunemente in dottrina che la diversa formulazione della norma abbia avuto il solo scopo di esplicitare un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principio già affermatosi in giurisprudenza, che, in plurime occasioni, aveva spiegato che il divieto doveva riferirsi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solo alle operazioni fonte di nuovo rischio d'impresa, e che erano per converso consentiti gli atti di impresa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strumentali alla conservazione del patrimonio ed alle necessità inerenti alla liquidazione (si pensi, ad esempio,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all'assunzione di costi per il completamento di una commessa in corso, volti ad evitare gli obblighi risarcitoli derivanti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dall'inadempimento). Da ciò deriva che ben può essere ricercata la determinazione del quantum nel passivo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accumulato dopo il momento di raggiungimento del dissesto, vale à dire nella differenza tra i patrimoni netti al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31.12.1999 e alla data del fallimento.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lastRenderedPageBreak/>
        <w:t>Riguardo all'individuazione della data in insorgenza nell'amministratore della consapevolezza del raggiungimento del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dissesto (31.12.1999, oppure data di predisposizione del bilancio d'esercizio), basti considerare la linearità delle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osservazioni del CTP del FALLIMENTO (dr.ssa M.), che traendo evidente spunto dal corso ordinario degli eventi,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ha osservato come l'amministratore di una società sia in grado di ben apprezzare l'andamento della gestione nel corso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dell'esercizio, dovendo calibrare le proprie scelte operative di acquisto e di spesa di volta in volta, secondo il risultato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di gestione conseguito medio tempore, e non è pertanto credibile, in mancanza di deduzioni specifiche che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permettano di opinare in senso contrario, che l'esito dell'attività annuale possa essere apprezzato solamente alla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chiusura dei conti, ed al momento della redazione della bozza di bilancio.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Ciò posto, il dato riguardante lo sbilancio fallimentare, pari ad € 1.320.856, ed è di facile rilevazione, perché non più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contestato, a seguito della correzione dell'errore materiale da parte del curatore nel corso del giudizio.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Il CTU, a seguito della riclassificazione delle poste di bilancio, e recepite in buona parte le deduzioni del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FALLIMENTO attore riguardo alle falsificazioni denunciate, ha individuato l'incremento dello sbilancio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 xml:space="preserve">patrimoniale nell'importo di </w:t>
      </w:r>
      <w:r>
        <w:rPr>
          <w:rFonts w:ascii="TT5C6o00" w:hAnsi="TT5C6o00" w:cs="TT5C6o00"/>
          <w:color w:val="000000"/>
          <w:sz w:val="20"/>
          <w:szCs w:val="20"/>
        </w:rPr>
        <w:t xml:space="preserve">€ 975.655,32 </w:t>
      </w:r>
      <w:r>
        <w:rPr>
          <w:rFonts w:ascii="TT5C2o00" w:hAnsi="TT5C2o00" w:cs="TT5C2o00"/>
          <w:color w:val="000000"/>
          <w:sz w:val="20"/>
          <w:szCs w:val="20"/>
        </w:rPr>
        <w:t xml:space="preserve">per </w:t>
      </w:r>
      <w:proofErr w:type="spellStart"/>
      <w:r>
        <w:rPr>
          <w:rFonts w:ascii="TT5C2o00" w:hAnsi="TT5C2o00" w:cs="TT5C2o00"/>
          <w:color w:val="000000"/>
          <w:sz w:val="20"/>
          <w:szCs w:val="20"/>
        </w:rPr>
        <w:t>E.C.</w:t>
      </w:r>
      <w:proofErr w:type="spellEnd"/>
      <w:r>
        <w:rPr>
          <w:rFonts w:ascii="TT5C2o00" w:hAnsi="TT5C2o00" w:cs="TT5C2o00"/>
          <w:color w:val="000000"/>
          <w:sz w:val="20"/>
          <w:szCs w:val="20"/>
        </w:rPr>
        <w:t xml:space="preserve"> (in carica alla data del 31.12.1999) ed in </w:t>
      </w:r>
      <w:r>
        <w:rPr>
          <w:rFonts w:ascii="TT5C6o00" w:hAnsi="TT5C6o00" w:cs="TT5C6o00"/>
          <w:color w:val="000000"/>
          <w:sz w:val="20"/>
          <w:szCs w:val="20"/>
        </w:rPr>
        <w:t xml:space="preserve">€ 809.204,19 </w:t>
      </w:r>
      <w:r>
        <w:rPr>
          <w:rFonts w:ascii="TT5C2o00" w:hAnsi="TT5C2o00" w:cs="TT5C2o00"/>
          <w:color w:val="000000"/>
          <w:sz w:val="20"/>
          <w:szCs w:val="20"/>
        </w:rPr>
        <w:t>per gli altri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due amministratori, che hanno ricevuto l'incarico dal novembre 2000.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Le parti - si ribadisce - non hanno contestato la perdita del capitale sociale, come valutata dal CTU, al 31.12.1999, né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la maggior parte delle riclassificazioni operate dal consulente d'ufficio che l'attore aveva ricondotto alle falsificazioni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censurate in citazione. Paiono tuttavia condivisibili i rilievi svolti dalla CTP dei convenuti C. (dr.ssa G.), in relazione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alla cartella esattoriale 1996, e alle voci "immobilizzazioni materiali nette".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6o00" w:hAnsi="TT5C6o00" w:cs="TT5C6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 xml:space="preserve">Quanto al primo punto, è pacifico e dimostrato che lo stato passivo include un importo pari ad </w:t>
      </w:r>
      <w:r>
        <w:rPr>
          <w:rFonts w:ascii="TT5C6o00" w:hAnsi="TT5C6o00" w:cs="TT5C6o00"/>
          <w:color w:val="000000"/>
          <w:sz w:val="20"/>
          <w:szCs w:val="20"/>
        </w:rPr>
        <w:t>€ 667.119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concernente l'insinuazione del concessionario per la riscossione ESATRI spa a titolo di IVA, IRPEG ed ILOR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relative al periodo d'imposta 1996, portate da una cartella esattoriale notificata nel dicembre 2002. La passività, è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evidente, inerisce ad un periodo antecedente alla perdita del capitale sociale, e non può pertanto essere considerata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 xml:space="preserve">causalmente derivata dalla illegittima prosecuzione dell'attività dopo il 31.12.1999 (per </w:t>
      </w:r>
      <w:proofErr w:type="spellStart"/>
      <w:r>
        <w:rPr>
          <w:rFonts w:ascii="TT5C2o00" w:hAnsi="TT5C2o00" w:cs="TT5C2o00"/>
          <w:color w:val="000000"/>
          <w:sz w:val="20"/>
          <w:szCs w:val="20"/>
        </w:rPr>
        <w:t>E.C.</w:t>
      </w:r>
      <w:proofErr w:type="spellEnd"/>
      <w:r>
        <w:rPr>
          <w:rFonts w:ascii="TT5C2o00" w:hAnsi="TT5C2o00" w:cs="TT5C2o00"/>
          <w:color w:val="000000"/>
          <w:sz w:val="20"/>
          <w:szCs w:val="20"/>
        </w:rPr>
        <w:t>, o anche dopo il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novembre 2000 per gli altri due amministratori), posto che essa si sarebbe comunque manifestata anche a prescindere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dall'insorgere della causa di scioglimento.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Neppure può essere presa in considerazione la domanda di condono presentata (e non onorata) nel 2002, poiché tale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 xml:space="preserve">atto </w:t>
      </w:r>
      <w:proofErr w:type="spellStart"/>
      <w:r>
        <w:rPr>
          <w:rFonts w:ascii="TT5C2o00" w:hAnsi="TT5C2o00" w:cs="TT5C2o00"/>
          <w:color w:val="000000"/>
          <w:sz w:val="20"/>
          <w:szCs w:val="20"/>
        </w:rPr>
        <w:t>gestorio</w:t>
      </w:r>
      <w:proofErr w:type="spellEnd"/>
      <w:r>
        <w:rPr>
          <w:rFonts w:ascii="TT5C2o00" w:hAnsi="TT5C2o00" w:cs="TT5C2o00"/>
          <w:color w:val="000000"/>
          <w:sz w:val="20"/>
          <w:szCs w:val="20"/>
        </w:rPr>
        <w:t xml:space="preserve"> è stato compiuto in epoca successiva alla liquidazione di fatto (si condividono sul punto i rilievi della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CTP dr.ssa G.).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Dal dato di sbilancio indicato dal CTU va dunque sottratto l'importo sopra indicato di € 667.119.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6o00" w:hAnsi="TT5C6o00" w:cs="TT5C6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 xml:space="preserve">E ancora, va totalmente espunta la voce "immobilizzazioni immateriali nette" per Lire 508.520.093, pari ad </w:t>
      </w:r>
      <w:r>
        <w:rPr>
          <w:rFonts w:ascii="TT5C6o00" w:hAnsi="TT5C6o00" w:cs="TT5C6o00"/>
          <w:color w:val="000000"/>
          <w:sz w:val="20"/>
          <w:szCs w:val="20"/>
        </w:rPr>
        <w:t>€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6o00" w:hAnsi="TT5C6o00" w:cs="TT5C6o00"/>
          <w:color w:val="000000"/>
          <w:sz w:val="20"/>
          <w:szCs w:val="20"/>
        </w:rPr>
        <w:t>262.629</w:t>
      </w:r>
      <w:r>
        <w:rPr>
          <w:rFonts w:ascii="TT5C2o00" w:hAnsi="TT5C2o00" w:cs="TT5C2o00"/>
          <w:color w:val="000000"/>
          <w:sz w:val="20"/>
          <w:szCs w:val="20"/>
        </w:rPr>
        <w:t>, che riflette costi capitalizzati non corrispondenti ad attività monetizzabili ai fini della liquidazione, tenuto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conto che le due grandezze in considerazione (sbilancio riferito alla data della perdita del capitale sociale - sbilancio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della procedura concorsuale) devono essere rese omogenee dal punto di vista dei criteri di valutazione utilizzati. In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altre parole, nel momento in cui una società viene a trovarsi in stato di liquidazione - sia pure in via di mero fatto - i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 xml:space="preserve">suoi elementi patrimoniali devono essere considerati in un'ottica </w:t>
      </w:r>
      <w:proofErr w:type="spellStart"/>
      <w:r>
        <w:rPr>
          <w:rFonts w:ascii="TT5C2o00" w:hAnsi="TT5C2o00" w:cs="TT5C2o00"/>
          <w:color w:val="000000"/>
          <w:sz w:val="20"/>
          <w:szCs w:val="20"/>
        </w:rPr>
        <w:t>liquidatoria</w:t>
      </w:r>
      <w:proofErr w:type="spellEnd"/>
      <w:r>
        <w:rPr>
          <w:rFonts w:ascii="TT5C2o00" w:hAnsi="TT5C2o00" w:cs="TT5C2o00"/>
          <w:color w:val="000000"/>
          <w:sz w:val="20"/>
          <w:szCs w:val="20"/>
        </w:rPr>
        <w:t xml:space="preserve"> e non secondo la prospettiva di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continuazione dell'attività imprenditoriale.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Dall'importo indicato dal CTU va dunque detratta l'ulteriore somma di € 262.629.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Lo sbilancio patrimoniale si risolve dunque astrattamente - stando ai calcoli del CTU come ora rettificati -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nell'importo di € 45.907,32 per il solo E. C., per gli altri due amministratori la differenza è evidentemente in positivo.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Con riferimento al convenuto C. si noti tuttavia che dovendosi avere riguardo al risultato di gestione riferito alla data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del fallimento, occorre includere nel computo dell'attivo anche la somma che figurava nella cassa sociale (€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91.301,29), posto che tale importo era in astratto compreso nell'attivo fino a quel momento, sebbene conseguito a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 xml:space="preserve">seguito della prosecuzione vietata dell'attività d'impresa. Da ciò discende che anche per </w:t>
      </w:r>
      <w:proofErr w:type="spellStart"/>
      <w:r>
        <w:rPr>
          <w:rFonts w:ascii="TT5C2o00" w:hAnsi="TT5C2o00" w:cs="TT5C2o00"/>
          <w:color w:val="000000"/>
          <w:sz w:val="20"/>
          <w:szCs w:val="20"/>
        </w:rPr>
        <w:t>E.C.</w:t>
      </w:r>
      <w:proofErr w:type="spellEnd"/>
      <w:r>
        <w:rPr>
          <w:rFonts w:ascii="TT5C2o00" w:hAnsi="TT5C2o00" w:cs="TT5C2o00"/>
          <w:color w:val="000000"/>
          <w:sz w:val="20"/>
          <w:szCs w:val="20"/>
        </w:rPr>
        <w:t xml:space="preserve"> il confronto tra i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patrimoni netti genera un saldo in positivo, tanto da comportare non un incremento, bensì una diminuzione dello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sbilancio rispetto alla data di raffronto del 31.12.1999.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Gli investimenti su beni di D. (€ 276.085,20).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È incontroverso che la società fallita ha sostenuto costi per effettuare migliorie sui beni inerenti all'azienda presa in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affitto da D. srl, società riconducibile alla famiglia C. per l'ammontare complessivo, dal 2000 al 2003, di € 276.085,20.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Il curatore ha sostanzialmente denunciato tali investimenti come profilo della condotta di prosecuzione vietata della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gestione d'impresa, posto che nella narrativa della citazione, ribadita o non smentita nei successivi scritti difensivi, tali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operazioni sono sempre prospettate in collegamento e in unione con l'illegittima attività non conservativa.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Il danno lamentato dal FALLIMENTO deve però essere limitato al risultato pregiudizievole per X srl degli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investimenti di cui si discute. Sul punto occorre ricordare che grava sull'attore l'onere della prova del compimento, da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parte degli amministratori, di iniziative di carattere non conservativo del patrimonio sociale, dell'ammontare dei danni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 xml:space="preserve">e del nesso causale rispetto al che ne è danno </w:t>
      </w:r>
      <w:proofErr w:type="spellStart"/>
      <w:r>
        <w:rPr>
          <w:rFonts w:ascii="TT5C2o00" w:hAnsi="TT5C2o00" w:cs="TT5C2o00"/>
          <w:color w:val="000000"/>
          <w:sz w:val="20"/>
          <w:szCs w:val="20"/>
        </w:rPr>
        <w:t>asseritamente</w:t>
      </w:r>
      <w:proofErr w:type="spellEnd"/>
      <w:r>
        <w:rPr>
          <w:rFonts w:ascii="TT5C2o00" w:hAnsi="TT5C2o00" w:cs="TT5C2o00"/>
          <w:color w:val="000000"/>
          <w:sz w:val="20"/>
          <w:szCs w:val="20"/>
        </w:rPr>
        <w:t xml:space="preserve"> derivato. Ebbene, nel corso della consulenza tecnica i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 xml:space="preserve">convenuti non hanno acconsentito - come pure era legittimo ai sensi della disposizione ex art. 198 </w:t>
      </w:r>
      <w:proofErr w:type="spellStart"/>
      <w:r>
        <w:rPr>
          <w:rFonts w:ascii="TT5C2o00" w:hAnsi="TT5C2o00" w:cs="TT5C2o00"/>
          <w:color w:val="000000"/>
          <w:sz w:val="20"/>
          <w:szCs w:val="20"/>
        </w:rPr>
        <w:t>c.p.c.</w:t>
      </w:r>
      <w:proofErr w:type="spellEnd"/>
      <w:r>
        <w:rPr>
          <w:rFonts w:ascii="TT5C2o00" w:hAnsi="TT5C2o00" w:cs="TT5C2o00"/>
          <w:color w:val="000000"/>
          <w:sz w:val="20"/>
          <w:szCs w:val="20"/>
        </w:rPr>
        <w:t xml:space="preserve"> - a dare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ingresso in causa alla documentazione (essenzialmente le fatture relative alle migliorie apportate ai beni aziendali) che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il FALLIMENTO solo in quella sede ha offerto di produrre, e dalla quale sarebbe forse stato possibile ricavare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qualche dato utile per l'accertamento in parola. Il CTU ha potuto dunque solo desumere il dato globale risultante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dalla contabilità disponibile, ma non ha potuto individuare le illegittime operazioni compiute. Giova ribadire che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grava sul FALLIMENTO l'onere di allegazione e di prova del fatto che dopo la perdita del capitale sociale, gli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amministratori hanno intrapreso l'iniziativa imprenditoriale al di fuori di una logica meramente conservativa, e di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lastRenderedPageBreak/>
        <w:t>indicare quali conseguenze negative sul piano del depauperamento del patrimonio sociale ne sarebbero derivate, al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netto dei ricavi conseguiti.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 xml:space="preserve">Ciò è mancato nella </w:t>
      </w:r>
      <w:proofErr w:type="spellStart"/>
      <w:r>
        <w:rPr>
          <w:rFonts w:ascii="TT5C2o00" w:hAnsi="TT5C2o00" w:cs="TT5C2o00"/>
          <w:color w:val="000000"/>
          <w:sz w:val="20"/>
          <w:szCs w:val="20"/>
        </w:rPr>
        <w:t>prospettazione</w:t>
      </w:r>
      <w:proofErr w:type="spellEnd"/>
      <w:r>
        <w:rPr>
          <w:rFonts w:ascii="TT5C2o00" w:hAnsi="TT5C2o00" w:cs="TT5C2o00"/>
          <w:color w:val="000000"/>
          <w:sz w:val="20"/>
          <w:szCs w:val="20"/>
        </w:rPr>
        <w:t xml:space="preserve"> </w:t>
      </w:r>
      <w:proofErr w:type="spellStart"/>
      <w:r>
        <w:rPr>
          <w:rFonts w:ascii="TT5C2o00" w:hAnsi="TT5C2o00" w:cs="TT5C2o00"/>
          <w:color w:val="000000"/>
          <w:sz w:val="20"/>
          <w:szCs w:val="20"/>
        </w:rPr>
        <w:t>attorea</w:t>
      </w:r>
      <w:proofErr w:type="spellEnd"/>
      <w:r>
        <w:rPr>
          <w:rFonts w:ascii="TT5C2o00" w:hAnsi="TT5C2o00" w:cs="TT5C2o00"/>
          <w:color w:val="000000"/>
          <w:sz w:val="20"/>
          <w:szCs w:val="20"/>
        </w:rPr>
        <w:t>, che si è limitata ad attribuire agli amministratori la responsabilità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risarcitoria per ogni spesa relativa alle migliorie sui beni dell'azienda presa in affitto.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La voce di danno in esame non può dunque essere posta a carico degli amministratori.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In conclusione, gli amministratori C. sono tenuti a ristorare il FALLIMENTO della complessiva somma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corrispondente alla distrazione della cassa per € 91.301,29, importo che - per evitare ogni possibile duplicazione di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danno con rifermento ad C. - va considerata assorbente, per le ragioni già dette, rispetto alla perdita incrementale dal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31.12.1999 alla data del fallimento. Da tale responsabilità dovrà invece andare esente D. C. per le ragioni che si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illustreranno in prosieguo.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La posizione degli amministratori.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E. C.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È incontestato che il convenuto C. è stato amministratore di diritto dalla costituzione della società fino all'anno 2000.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La deduzione dell'attore secondo la quale egli sarebbe stato amministratore di fatto fino alla data della dichiarazione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di fallimento trova un determinante elemento di sostegno nella sentenza di patteggiamento emessa dal Tribunale di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Milano (v. doc. 9 del FALLIMENTO). Tra i fatti di cui all'imputazione, oggetto di pena concordata tra l'imputato e il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pubblico ministero, è incluso - tra l'altro - il ruolo di amministratore di fatto del sig. C. fino alla data della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dichiarazione di fallimento. Oltre al già svolto rilievo sull'entità della pena inflitta al C. deve constatarsi che in atti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sono riscontrabili alcuni indici che tendono ad avvalorare il convincimento del ruolo svolto in ambito societario da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proofErr w:type="spellStart"/>
      <w:r>
        <w:rPr>
          <w:rFonts w:ascii="TT5C2o00" w:hAnsi="TT5C2o00" w:cs="TT5C2o00"/>
          <w:color w:val="000000"/>
          <w:sz w:val="20"/>
          <w:szCs w:val="20"/>
        </w:rPr>
        <w:t>E.C.</w:t>
      </w:r>
      <w:proofErr w:type="spellEnd"/>
      <w:r>
        <w:rPr>
          <w:rFonts w:ascii="TT5C2o00" w:hAnsi="TT5C2o00" w:cs="TT5C2o00"/>
          <w:color w:val="000000"/>
          <w:sz w:val="20"/>
          <w:szCs w:val="20"/>
        </w:rPr>
        <w:t>, quali: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- le dichiarazioni rese al curatore dal convenuto C. (pag. 55 della relazione del perito del pubblico ministero);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 xml:space="preserve">- la lettera inviata al curatore da un creditore della società fallita, che ha indicato in </w:t>
      </w:r>
      <w:proofErr w:type="spellStart"/>
      <w:r>
        <w:rPr>
          <w:rFonts w:ascii="TT5C2o00" w:hAnsi="TT5C2o00" w:cs="TT5C2o00"/>
          <w:color w:val="000000"/>
          <w:sz w:val="20"/>
          <w:szCs w:val="20"/>
        </w:rPr>
        <w:t>E.C.</w:t>
      </w:r>
      <w:proofErr w:type="spellEnd"/>
      <w:r>
        <w:rPr>
          <w:rFonts w:ascii="TT5C2o00" w:hAnsi="TT5C2o00" w:cs="TT5C2o00"/>
          <w:color w:val="000000"/>
          <w:sz w:val="20"/>
          <w:szCs w:val="20"/>
        </w:rPr>
        <w:t xml:space="preserve"> la persona che si occupava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 xml:space="preserve">dei rapporti con i fornitori: pag. 42 della relazione ex art. 33 </w:t>
      </w:r>
      <w:proofErr w:type="spellStart"/>
      <w:r>
        <w:rPr>
          <w:rFonts w:ascii="TT5C2o00" w:hAnsi="TT5C2o00" w:cs="TT5C2o00"/>
          <w:color w:val="000000"/>
          <w:sz w:val="20"/>
          <w:szCs w:val="20"/>
        </w:rPr>
        <w:t>l.f.</w:t>
      </w:r>
      <w:proofErr w:type="spellEnd"/>
      <w:r>
        <w:rPr>
          <w:rFonts w:ascii="TT5C2o00" w:hAnsi="TT5C2o00" w:cs="TT5C2o00"/>
          <w:color w:val="000000"/>
          <w:sz w:val="20"/>
          <w:szCs w:val="20"/>
        </w:rPr>
        <w:t>;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- la presenza in azienda in occasione del pignoramento da parte dell'ufficiale giudiziario.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R.C.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La convenuta ha assunto l'incarico di amministratore di diritto dal novembre 2000 fino alla data del fallimento.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D.C.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Ha ricoperto l'incarico di amministratore di diritto dal novembre 2000, ed ha rassegnato le dimissioni in data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26,11.2003. Il FALLIMENTO chiama D. C. a rispondere di ogni voce di danno, al pari dei convenuti C.,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imputandogli la violazione del dovere di vigilanza. Il sig. C. nell'ammettere di essersi disinteressato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dell'amministrazione, finisce per riconoscere di avere violato il dovere di vigilare sul buon andamento della gestione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societaria, e dunque di non essersi adoperato affinché non fossero compiute nuove operazioni. Va tuttavia constatato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che a fronte del riconoscimento di responsabilità dei sigg. C. riguardo alla distrazione di somme dalla cassa sociale, il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sig. C. ha invece contestato di avere preso parte all'illecita sottrazione. Il FALLIMENTO, tuttavia, non ha indicato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 xml:space="preserve">alcun elemento utile alla collocazione temporale della condotta </w:t>
      </w:r>
      <w:proofErr w:type="spellStart"/>
      <w:r>
        <w:rPr>
          <w:rFonts w:ascii="TT5C2o00" w:hAnsi="TT5C2o00" w:cs="TT5C2o00"/>
          <w:color w:val="000000"/>
          <w:sz w:val="20"/>
          <w:szCs w:val="20"/>
        </w:rPr>
        <w:t>distrattiva</w:t>
      </w:r>
      <w:proofErr w:type="spellEnd"/>
      <w:r>
        <w:rPr>
          <w:rFonts w:ascii="TT5C2o00" w:hAnsi="TT5C2o00" w:cs="TT5C2o00"/>
          <w:color w:val="000000"/>
          <w:sz w:val="20"/>
          <w:szCs w:val="20"/>
        </w:rPr>
        <w:t>, sicché essa non può essere univocamente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riconducibile ad un'epoca antecedente alla cessazione dell'incarico del C.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La domanda proposta nei confronti di D. deve dunque essere rigettata.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La posizione di D.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Va ricordato che il FALLIMENTO ha chiesto la condanna di D. srl al risarcimento del danno per avere percepito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pagamenti lesivi della par condicio, e per avere beneficiato di investimenti per migliorie sui propri beni, realizzati con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risorse economiche provenienti dalla fallita.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Valgono le osservazioni svolte in precedenza - quanto ai pagamenti preferenziali - sull'assenza di legittimazione del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curatore, e comunque di danno per la massa dei creditori globalmente intesa.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 xml:space="preserve">Riguardo agli investimenti </w:t>
      </w:r>
      <w:proofErr w:type="spellStart"/>
      <w:r>
        <w:rPr>
          <w:rFonts w:ascii="TT5C2o00" w:hAnsi="TT5C2o00" w:cs="TT5C2o00"/>
          <w:color w:val="000000"/>
          <w:sz w:val="20"/>
          <w:szCs w:val="20"/>
        </w:rPr>
        <w:t>asseritamente</w:t>
      </w:r>
      <w:proofErr w:type="spellEnd"/>
      <w:r>
        <w:rPr>
          <w:rFonts w:ascii="TT5C2o00" w:hAnsi="TT5C2o00" w:cs="TT5C2o00"/>
          <w:color w:val="000000"/>
          <w:sz w:val="20"/>
          <w:szCs w:val="20"/>
        </w:rPr>
        <w:t xml:space="preserve"> effettuati su cose proprietà di D. e segnatamente sui beni aziendali che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questa aveva concesso in affitto alla società fallita va esaminata anzitutto l'assorbente eccezione di prescrizione.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Non sembra mettere in dubbio che la domanda proposta dal FALLIMENTO nei confronti della convenuta D. srl è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volta a far valere un ordinario risarcitorio da fatto illecito, e costituisce esercizio dell'azione di risarcimento da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 xml:space="preserve">responsabilità </w:t>
      </w:r>
      <w:proofErr w:type="spellStart"/>
      <w:r>
        <w:rPr>
          <w:rFonts w:ascii="TT5C2o00" w:hAnsi="TT5C2o00" w:cs="TT5C2o00"/>
          <w:color w:val="000000"/>
          <w:sz w:val="20"/>
          <w:szCs w:val="20"/>
        </w:rPr>
        <w:t>aquiliana</w:t>
      </w:r>
      <w:proofErr w:type="spellEnd"/>
      <w:r>
        <w:rPr>
          <w:rFonts w:ascii="TT5C2o00" w:hAnsi="TT5C2o00" w:cs="TT5C2o00"/>
          <w:color w:val="000000"/>
          <w:sz w:val="20"/>
          <w:szCs w:val="20"/>
        </w:rPr>
        <w:t>, azione che era già presente nel patrimonio del fallito alla data della dichiarazione di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fallimento. Da ciò deriva che il termine di prescrizione quinquennale ex art. 2497 c.c. del diritto al risarcimento danni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da fatto illecito inizia a decorrere dal verificarsi del fatto causativo del danno. Dalla relazione del CTU risulta che alla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luce dei dati contabili gli investimenti in parola sono cronologicamente collocabili negli anni dal 2000 al 2003 (per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quest'ultimo esercizio nella misura di € 56.214,78).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L'atto di citazione è stato notificato nel luglio 2008, sicché l'asserito danno per investimenti eseguiti negli anni 2000-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2002 è certamente prescritto. Per l'anno 2003 si deve giungere a conclusione opposta, poiché la convenuta D. srl non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ha dato alcuna prova dell'esecuzione delle spese in commento in epoca idonea a fare ritenere fondata la eccezione di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prescrizione (v. sull'onere della prova Cass. 17832 del 2002; n. 4295 del 1990).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Per detti ultimi investimenti il FALLIMENTO ha tuttavia trascurato di offrire una puntuale dimostrazione del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carattere pregiudizievole dei fatti censurati, per le ragioni già illustrate, e del quantum del danno cagionato alla massa.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La domanda nei confronti di D. srl deve quindi essere respinta.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In conclusione, gli amministratori E. e R.C. devono essere condannati in solido al pagamento, in favore del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FALLIMENTO srl della complessiva somma di € 91.301,29. Su tale somma vanno calcolati la rivalutazione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monetaria fino alla data attuale, e gli interessi, ai sensi di legge, dalla data del fallimento fino al momento del saldo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lastRenderedPageBreak/>
        <w:t>effettivo.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Ed infatti, l'obbligazione risarcitoria da fatto illecito extracontrattuale, costituisce un debito di valore, non assumendo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alcun rilievo, al riguardo, il fatto che l'evento dannoso coincida con la perdita della somma di denaro, tenuto conto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 xml:space="preserve">che nella responsabilità </w:t>
      </w:r>
      <w:proofErr w:type="spellStart"/>
      <w:r>
        <w:rPr>
          <w:rFonts w:ascii="TT5C2o00" w:hAnsi="TT5C2o00" w:cs="TT5C2o00"/>
          <w:color w:val="000000"/>
          <w:sz w:val="20"/>
          <w:szCs w:val="20"/>
        </w:rPr>
        <w:t>aquiliana</w:t>
      </w:r>
      <w:proofErr w:type="spellEnd"/>
      <w:r>
        <w:rPr>
          <w:rFonts w:ascii="TT5C2o00" w:hAnsi="TT5C2o00" w:cs="TT5C2o00"/>
          <w:color w:val="000000"/>
          <w:sz w:val="20"/>
          <w:szCs w:val="20"/>
        </w:rPr>
        <w:t xml:space="preserve"> - dove l'obbligazione risarcitoria mira alla reintegrazione del patrimonio del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danneggiato - viene in rilievo la perdita del valore oggetto della sottrazione del denaro dal patrimonio della società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fallita, e ciò di cui è debitore il responsabile del danno non è una data somma di denaro, ma l'integrale risarcimento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del danno, di cui la somma originaria costituisce solo una componente ai fini della relativa commisurazione. Ne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consegue che l'obbligazione di risarcimento del danno costituisce un'obbligazione di valore sottratta al principio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nominalistico, sicché la rivalutazione monetaria va riconosciuta, tenendo conto della svalutazione sopravvenuta fino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alla data della liquidazione. E altresì risarcibile il nocumento finanziario (lucro cessante) subito a causa del ritardato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conseguimento della somma riconosciuta a titolo di risarcimento del danno, con la tecnica degli interessi computati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non sulla somma originaria né su quella rivalutata al momento della liquidazione ma sulla somma originaria rivalutata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 xml:space="preserve">anno per anno (sul punto si vedano Cass. n. 5234 del 2006 e n. 4587 del 2009), oltre agli interessi </w:t>
      </w:r>
      <w:proofErr w:type="spellStart"/>
      <w:r>
        <w:rPr>
          <w:rFonts w:ascii="TT5C2o00" w:hAnsi="TT5C2o00" w:cs="TT5C2o00"/>
          <w:color w:val="000000"/>
          <w:sz w:val="20"/>
          <w:szCs w:val="20"/>
        </w:rPr>
        <w:t>anatocistici</w:t>
      </w:r>
      <w:proofErr w:type="spellEnd"/>
      <w:r>
        <w:rPr>
          <w:rFonts w:ascii="TT5C2o00" w:hAnsi="TT5C2o00" w:cs="TT5C2o00"/>
          <w:color w:val="000000"/>
          <w:sz w:val="20"/>
          <w:szCs w:val="20"/>
        </w:rPr>
        <w:t xml:space="preserve"> ex art.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1283 c.c. - espressamente richiesti dall'attore - a decorrere dalla domanda giudiziale.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Va dichiarata l'integrale inefficacia del provvedimento cautelare emesso nei confronti di D. srl e D. C. il sequestro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conservativo è inefficace nei confronti degli altri due convenuti per la parte che supera l'importo riconosciuto a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 xml:space="preserve">credito dell'attore per capitale, interessi e rivalutazione, e spese di lite (art. 669 </w:t>
      </w:r>
      <w:proofErr w:type="spellStart"/>
      <w:r>
        <w:rPr>
          <w:rFonts w:ascii="TT5C2o00" w:hAnsi="TT5C2o00" w:cs="TT5C2o00"/>
          <w:color w:val="000000"/>
          <w:sz w:val="20"/>
          <w:szCs w:val="20"/>
        </w:rPr>
        <w:t>novies</w:t>
      </w:r>
      <w:proofErr w:type="spellEnd"/>
      <w:r>
        <w:rPr>
          <w:rFonts w:ascii="TT5C2o00" w:hAnsi="TT5C2o00" w:cs="TT5C2o00"/>
          <w:color w:val="000000"/>
          <w:sz w:val="20"/>
          <w:szCs w:val="20"/>
        </w:rPr>
        <w:t xml:space="preserve"> </w:t>
      </w:r>
      <w:proofErr w:type="spellStart"/>
      <w:r>
        <w:rPr>
          <w:rFonts w:ascii="TT5C2o00" w:hAnsi="TT5C2o00" w:cs="TT5C2o00"/>
          <w:color w:val="000000"/>
          <w:sz w:val="20"/>
          <w:szCs w:val="20"/>
        </w:rPr>
        <w:t>c.p.c.</w:t>
      </w:r>
      <w:proofErr w:type="spellEnd"/>
      <w:r>
        <w:rPr>
          <w:rFonts w:ascii="TT5C2o00" w:hAnsi="TT5C2o00" w:cs="TT5C2o00"/>
          <w:color w:val="000000"/>
          <w:sz w:val="20"/>
          <w:szCs w:val="20"/>
        </w:rPr>
        <w:t>).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Le spese sopportate da D. srl e da D.C. vanno poste a carico del FALLIMENTO in ragione della soccombenza, e si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liquidano per la prima in complessivi € 18.637,00 di cui e 15.000 per onorari, e per l'altro in € 12.500,00, di cui €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9.500,00 per onorari, per entrambi oltre rimborso forfettario, IVA e CP.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In relazione alla regolazione delle spese, va osservato che in relazione al rapporto processuale instauratosi tra il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FALLIMENTO ed i convenuti E. e R. C. non può porsi a carico dei convenuti soccombenti l'integrale ristoro delle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spese sostenute dal FALLIMENTO, posto che l'attore ha rifiutato in corso di causa un'offerta conciliativa che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prevedeva il pagamento in suo favore di una somma largamente superiore - € 360.000 - rispetto a quella che ora gli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 xml:space="preserve">viene riconosciuta (artt. 91 e 92 </w:t>
      </w:r>
      <w:proofErr w:type="spellStart"/>
      <w:r>
        <w:rPr>
          <w:rFonts w:ascii="TT5C2o00" w:hAnsi="TT5C2o00" w:cs="TT5C2o00"/>
          <w:color w:val="000000"/>
          <w:sz w:val="20"/>
          <w:szCs w:val="20"/>
        </w:rPr>
        <w:t>c.p.c.</w:t>
      </w:r>
      <w:proofErr w:type="spellEnd"/>
      <w:r>
        <w:rPr>
          <w:rFonts w:ascii="TT5C2o00" w:hAnsi="TT5C2o00" w:cs="TT5C2o00"/>
          <w:color w:val="000000"/>
          <w:sz w:val="20"/>
          <w:szCs w:val="20"/>
        </w:rPr>
        <w:t>). Le spese di lite vanno dunque compensate per la metà. La residua metà va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posta a carico dei convenuti sigg. C. in solido tra loro, e si liquida in € 11.068,00, di cui € 9.250,00 per onorari, oltre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ad € 7.860,00 pari alla metà delle spese di CTP.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Le spese di consulenza tecnica vanno poste definitivamente a carico del FALLIMENTO per un quarto, ed a carico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dei convenuti C. in solido per tre quarti.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6o00" w:hAnsi="TT5C6o00" w:cs="TT5C6o00"/>
          <w:color w:val="000000"/>
          <w:sz w:val="20"/>
          <w:szCs w:val="20"/>
        </w:rPr>
      </w:pPr>
      <w:r>
        <w:rPr>
          <w:rFonts w:ascii="TT5C6o00" w:hAnsi="TT5C6o00" w:cs="TT5C6o00"/>
          <w:color w:val="000000"/>
          <w:sz w:val="20"/>
          <w:szCs w:val="20"/>
        </w:rPr>
        <w:t>P.Q.M.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Il Tribunale, definitivamente pronunciando, ogni diversa istanza disattesa o assorbita, così decide: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1. condanna E. C., R. C. in solido tra loro al pagamento, in favore del FALLIMENTO X srl, della complessiva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somma di € 91.301,29, oltre alla rivalutazione monetaria fino alla data attuale, e gli interessi da computarsi sulla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 xml:space="preserve">somma originaria rivalutala anno per anno, ed oltre agli interessi </w:t>
      </w:r>
      <w:proofErr w:type="spellStart"/>
      <w:r>
        <w:rPr>
          <w:rFonts w:ascii="TT5C2o00" w:hAnsi="TT5C2o00" w:cs="TT5C2o00"/>
          <w:color w:val="000000"/>
          <w:sz w:val="20"/>
          <w:szCs w:val="20"/>
        </w:rPr>
        <w:t>anatocistici</w:t>
      </w:r>
      <w:proofErr w:type="spellEnd"/>
      <w:r>
        <w:rPr>
          <w:rFonts w:ascii="TT5C2o00" w:hAnsi="TT5C2o00" w:cs="TT5C2o00"/>
          <w:color w:val="000000"/>
          <w:sz w:val="20"/>
          <w:szCs w:val="20"/>
        </w:rPr>
        <w:t xml:space="preserve"> ex art. 1283 c.c. a decorrere dalla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domanda giudiziale;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2. compensa per un mezzo le spese di causa in relazione al rapporto processuale, instauratosi tra l'attore ed i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convenuti C. e condanna i predetti convenuti al pagamento del residuo mezzo in favore del FALLIMENTO,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liquidato detto mezzo in complessivi € 11.068,00, di cui € 9.250,00 per onorari, oltre ad € 7.860,00 pari alla metà delle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spese di CTP;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3. respinge la domanda proposta dal FALLIMENTO nei confronti di D. C. e D. srl;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4. condanna il FALLIMENTO al rimborso delle spese di lite sostenute dalla convenuta D. srl, che liquida in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complessivi € 18.637,00 di cui € 15.000 per onorari, oltre rimborso forfettario, IVA e CP;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5. condanna il FALLIMENTO al rimborso delle spese di lite sostenute dal convenuto C. che liquida in complessivi €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12.500,00, di cui € 9.500,00 per onorari, oltre rimborso forfettario, IVA e CP;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6. pone le spese di consulenza tecnica definitivamente a carico dei convenuti E. C., R. C. e D. C. in solido per tre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quarti, ed a carico del FALLIMENTO per il residuo quarto;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7. dichiara l'inefficacia del sequestro conservativo emesso nei confronti di D. srl e D.;</w:t>
      </w:r>
    </w:p>
    <w:p w:rsidR="00B5207C" w:rsidRDefault="00B5207C" w:rsidP="00B5207C">
      <w:pPr>
        <w:autoSpaceDE w:val="0"/>
        <w:autoSpaceDN w:val="0"/>
        <w:adjustRightInd w:val="0"/>
        <w:spacing w:after="0" w:line="240" w:lineRule="auto"/>
        <w:rPr>
          <w:rFonts w:ascii="TT5C2o00" w:hAnsi="TT5C2o00" w:cs="TT5C2o00"/>
          <w:color w:val="000000"/>
          <w:sz w:val="20"/>
          <w:szCs w:val="20"/>
        </w:rPr>
      </w:pPr>
      <w:r>
        <w:rPr>
          <w:rFonts w:ascii="TT5C2o00" w:hAnsi="TT5C2o00" w:cs="TT5C2o00"/>
          <w:color w:val="000000"/>
          <w:sz w:val="20"/>
          <w:szCs w:val="20"/>
        </w:rPr>
        <w:t>8. dichiara l'inefficacia del sequestro conservativo emesso nei confronti degli altri due convenuti per la parte che</w:t>
      </w:r>
    </w:p>
    <w:p w:rsidR="008A01CF" w:rsidRDefault="00B5207C" w:rsidP="00B5207C">
      <w:r>
        <w:rPr>
          <w:rFonts w:ascii="TT5C2o00" w:hAnsi="TT5C2o00" w:cs="TT5C2o00"/>
          <w:color w:val="000000"/>
          <w:sz w:val="20"/>
          <w:szCs w:val="20"/>
        </w:rPr>
        <w:t>supera l'importo riconosciuto a credito dell'attore per capitale, rivalutazione, interessi e spese di lite.</w:t>
      </w:r>
    </w:p>
    <w:sectPr w:rsidR="008A01CF" w:rsidSect="008A01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T5C4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5C5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5C2o00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T5C6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B5207C"/>
    <w:rsid w:val="008A01CF"/>
    <w:rsid w:val="00B52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01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6582</Words>
  <Characters>37521</Characters>
  <Application>Microsoft Office Word</Application>
  <DocSecurity>0</DocSecurity>
  <Lines>312</Lines>
  <Paragraphs>88</Paragraphs>
  <ScaleCrop>false</ScaleCrop>
  <Company/>
  <LinksUpToDate>false</LinksUpToDate>
  <CharactersWithSpaces>44015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Raimondo</dc:creator>
  <cp:lastModifiedBy>Raimondo</cp:lastModifiedBy>
  <cp:revision>1</cp:revision>
  <dcterms:created xsi:type="dcterms:W3CDTF">2011-04-11T16:37:00Z</dcterms:created>
  <dcterms:modified xsi:type="dcterms:W3CDTF">2011-04-11T16:39:00Z</dcterms:modified>
</cp:coreProperties>
</file>